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A1" w:rsidRPr="004E38B1" w:rsidRDefault="00D613A1" w:rsidP="00D613A1">
      <w:pPr>
        <w:pStyle w:val="Cmsor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0" w:name="_Titoktartási_megállapodás"/>
      <w:bookmarkStart w:id="1" w:name="_GoBack"/>
      <w:bookmarkEnd w:id="0"/>
      <w:bookmarkEnd w:id="1"/>
      <w:r w:rsidRPr="004E38B1">
        <w:rPr>
          <w:rFonts w:ascii="Arial Narrow" w:hAnsi="Arial Narrow"/>
          <w:sz w:val="22"/>
          <w:szCs w:val="22"/>
        </w:rPr>
        <w:t>Titoktartási megállapodás</w:t>
      </w:r>
    </w:p>
    <w:p w:rsidR="00D613A1" w:rsidRPr="004E38B1" w:rsidRDefault="00D613A1" w:rsidP="00D613A1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p w:rsidR="00D613A1" w:rsidRPr="004E38B1" w:rsidRDefault="00D613A1" w:rsidP="00D613A1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D613A1" w:rsidRPr="004E38B1" w:rsidTr="0035005D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amely létrejött egyrészről </w:t>
            </w:r>
            <w:proofErr w:type="gramStart"/>
            <w:r w:rsidRPr="004E38B1">
              <w:rPr>
                <w:rFonts w:ascii="Arial Narrow" w:hAnsi="Arial Narrow"/>
                <w:sz w:val="22"/>
                <w:szCs w:val="22"/>
              </w:rPr>
              <w:t>a</w:t>
            </w:r>
            <w:proofErr w:type="gramEnd"/>
          </w:p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b/>
                <w:sz w:val="22"/>
                <w:szCs w:val="22"/>
              </w:rPr>
              <w:t>……………………………..</w:t>
            </w:r>
          </w:p>
        </w:tc>
      </w:tr>
      <w:tr w:rsidR="00D613A1" w:rsidRPr="004E38B1" w:rsidTr="00471234">
        <w:trPr>
          <w:trHeight w:val="240"/>
        </w:trPr>
        <w:tc>
          <w:tcPr>
            <w:tcW w:w="2694" w:type="dxa"/>
            <w:shd w:val="clear" w:color="auto" w:fill="auto"/>
          </w:tcPr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512" w:type="dxa"/>
            <w:shd w:val="clear" w:color="auto" w:fill="auto"/>
          </w:tcPr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13A1" w:rsidRPr="004E38B1" w:rsidTr="00471234">
        <w:trPr>
          <w:trHeight w:val="225"/>
        </w:trPr>
        <w:tc>
          <w:tcPr>
            <w:tcW w:w="2694" w:type="dxa"/>
            <w:shd w:val="clear" w:color="auto" w:fill="auto"/>
          </w:tcPr>
          <w:p w:rsidR="00D613A1" w:rsidRPr="004E38B1" w:rsidRDefault="00D613A1" w:rsidP="0035005D">
            <w:pPr>
              <w:spacing w:line="276" w:lineRule="auto"/>
              <w:ind w:left="459" w:right="391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512" w:type="dxa"/>
            <w:shd w:val="clear" w:color="auto" w:fill="auto"/>
          </w:tcPr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13A1" w:rsidRPr="004E38B1" w:rsidTr="00471234">
        <w:trPr>
          <w:trHeight w:val="225"/>
        </w:trPr>
        <w:tc>
          <w:tcPr>
            <w:tcW w:w="2694" w:type="dxa"/>
            <w:shd w:val="clear" w:color="auto" w:fill="auto"/>
          </w:tcPr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512" w:type="dxa"/>
            <w:shd w:val="clear" w:color="auto" w:fill="auto"/>
          </w:tcPr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13A1" w:rsidRPr="004E38B1" w:rsidTr="00471234">
        <w:trPr>
          <w:trHeight w:val="310"/>
        </w:trPr>
        <w:tc>
          <w:tcPr>
            <w:tcW w:w="2694" w:type="dxa"/>
            <w:shd w:val="clear" w:color="auto" w:fill="auto"/>
          </w:tcPr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512" w:type="dxa"/>
            <w:shd w:val="clear" w:color="auto" w:fill="auto"/>
          </w:tcPr>
          <w:p w:rsidR="00D613A1" w:rsidRPr="004E38B1" w:rsidRDefault="00D613A1" w:rsidP="0035005D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13A1" w:rsidRPr="004E38B1" w:rsidTr="0035005D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D613A1" w:rsidRPr="004E38B1" w:rsidRDefault="00D613A1" w:rsidP="0035005D">
            <w:pPr>
              <w:tabs>
                <w:tab w:val="left" w:pos="2859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4E38B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4E38B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D613A1" w:rsidRPr="004E38B1" w:rsidTr="0035005D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D613A1" w:rsidRPr="004E38B1" w:rsidRDefault="00D613A1" w:rsidP="0035005D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D613A1" w:rsidRPr="004E38B1" w:rsidRDefault="00D613A1" w:rsidP="0035005D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másrészről </w:t>
            </w:r>
            <w:proofErr w:type="gramStart"/>
            <w:r w:rsidRPr="004E38B1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proofErr w:type="gramEnd"/>
          </w:p>
          <w:p w:rsidR="00D613A1" w:rsidRPr="004E38B1" w:rsidRDefault="00D613A1" w:rsidP="0035005D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D613A1" w:rsidRPr="004E38B1" w:rsidTr="0035005D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D613A1" w:rsidRPr="004E38B1" w:rsidRDefault="00D613A1" w:rsidP="0035005D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  Óbudai Egyetem </w:t>
                  </w:r>
                </w:p>
              </w:tc>
            </w:tr>
            <w:tr w:rsidR="00D613A1" w:rsidRPr="004E38B1" w:rsidTr="0035005D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D613A1" w:rsidRPr="004E38B1" w:rsidRDefault="00D613A1" w:rsidP="0035005D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Székhelye: </w:t>
                  </w:r>
                </w:p>
              </w:tc>
              <w:tc>
                <w:tcPr>
                  <w:tcW w:w="5877" w:type="dxa"/>
                </w:tcPr>
                <w:p w:rsidR="00D613A1" w:rsidRPr="004E38B1" w:rsidRDefault="00471234" w:rsidP="0035005D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1034 Budapest Bécsi út 96/b.</w:t>
                  </w:r>
                </w:p>
              </w:tc>
            </w:tr>
            <w:tr w:rsidR="00D613A1" w:rsidRPr="004E38B1" w:rsidTr="0035005D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D613A1" w:rsidRPr="004E38B1" w:rsidRDefault="00D613A1" w:rsidP="0035005D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Intézményi azonosító: </w:t>
                  </w:r>
                </w:p>
                <w:p w:rsidR="00D613A1" w:rsidRPr="004E38B1" w:rsidRDefault="00D613A1" w:rsidP="0035005D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Adószáma:</w:t>
                  </w: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:rsidR="00D613A1" w:rsidRDefault="00471234" w:rsidP="0035005D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FI12904</w:t>
                  </w:r>
                </w:p>
                <w:p w:rsidR="00471234" w:rsidRPr="004E38B1" w:rsidRDefault="00471234" w:rsidP="0035005D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15773063-2-41</w:t>
                  </w:r>
                </w:p>
              </w:tc>
            </w:tr>
            <w:tr w:rsidR="00D613A1" w:rsidRPr="004E38B1" w:rsidTr="0035005D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D613A1" w:rsidRPr="004E38B1" w:rsidRDefault="00D613A1" w:rsidP="0035005D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Képviseli:</w:t>
                  </w:r>
                </w:p>
              </w:tc>
              <w:tc>
                <w:tcPr>
                  <w:tcW w:w="5877" w:type="dxa"/>
                </w:tcPr>
                <w:p w:rsidR="00D613A1" w:rsidRPr="004E38B1" w:rsidRDefault="00471234" w:rsidP="0035005D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Dr. Rajnai Zoltán dékán</w:t>
                  </w:r>
                </w:p>
              </w:tc>
            </w:tr>
          </w:tbl>
          <w:p w:rsidR="00D613A1" w:rsidRPr="004E38B1" w:rsidRDefault="00D613A1" w:rsidP="0035005D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Egyetem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D613A1" w:rsidRPr="004E38B1" w:rsidRDefault="00D613A1" w:rsidP="0035005D">
            <w:pPr>
              <w:tabs>
                <w:tab w:val="left" w:pos="426"/>
              </w:tabs>
              <w:spacing w:before="120" w:after="120" w:line="276" w:lineRule="auto"/>
              <w:ind w:left="459" w:right="788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</w:p>
          <w:p w:rsidR="00D613A1" w:rsidRPr="004E38B1" w:rsidRDefault="00D613A1" w:rsidP="0035005D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D613A1" w:rsidRPr="004E38B1" w:rsidRDefault="00D613A1" w:rsidP="00D613A1">
      <w:pPr>
        <w:numPr>
          <w:ilvl w:val="0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Előzmények</w:t>
      </w:r>
    </w:p>
    <w:p w:rsidR="00D613A1" w:rsidRPr="004E38B1" w:rsidRDefault="00D613A1" w:rsidP="00D613A1">
      <w:pPr>
        <w:numPr>
          <w:ilvl w:val="1"/>
          <w:numId w:val="1"/>
        </w:numPr>
        <w:spacing w:line="276" w:lineRule="auto"/>
        <w:ind w:left="284" w:right="790" w:hanging="284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…</w:t>
      </w:r>
      <w:proofErr w:type="gramStart"/>
      <w:r w:rsidRPr="004E38B1">
        <w:rPr>
          <w:rFonts w:ascii="Arial Narrow" w:hAnsi="Arial Narrow"/>
          <w:sz w:val="22"/>
          <w:szCs w:val="22"/>
        </w:rPr>
        <w:t>……………………………………………………………….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 </w:t>
      </w:r>
      <w:r w:rsidRPr="004E38B1">
        <w:rPr>
          <w:rFonts w:ascii="Arial Narrow" w:hAnsi="Arial Narrow"/>
          <w:i/>
          <w:sz w:val="22"/>
          <w:szCs w:val="22"/>
        </w:rPr>
        <w:t>(név)</w:t>
      </w:r>
      <w:r w:rsidRPr="004E38B1">
        <w:rPr>
          <w:rFonts w:ascii="Arial Narrow" w:hAnsi="Arial Narrow"/>
          <w:sz w:val="22"/>
          <w:szCs w:val="22"/>
        </w:rPr>
        <w:t xml:space="preserve"> (tanulmányi azonosító: ……………..…..…………..) </w:t>
      </w:r>
      <w:proofErr w:type="gramStart"/>
      <w:r w:rsidRPr="004E38B1">
        <w:rPr>
          <w:rFonts w:ascii="Arial Narrow" w:hAnsi="Arial Narrow"/>
          <w:sz w:val="22"/>
          <w:szCs w:val="22"/>
        </w:rPr>
        <w:t xml:space="preserve">(a továbbiakban: Hallgató), az Óbudai Egyetem ………………………………………………………………………………………………………………………….. </w:t>
      </w:r>
      <w:r w:rsidRPr="004E38B1">
        <w:rPr>
          <w:rFonts w:ascii="Arial Narrow" w:hAnsi="Arial Narrow"/>
          <w:bCs/>
          <w:sz w:val="22"/>
          <w:szCs w:val="22"/>
        </w:rPr>
        <w:t>K</w:t>
      </w:r>
      <w:r w:rsidRPr="004E38B1">
        <w:rPr>
          <w:rFonts w:ascii="Arial Narrow" w:hAnsi="Arial Narrow"/>
          <w:sz w:val="22"/>
          <w:szCs w:val="22"/>
        </w:rPr>
        <w:t xml:space="preserve">arának </w:t>
      </w:r>
      <w:proofErr w:type="spellStart"/>
      <w:r w:rsidRPr="004E38B1">
        <w:rPr>
          <w:rFonts w:ascii="Arial Narrow" w:hAnsi="Arial Narrow"/>
          <w:sz w:val="22"/>
          <w:szCs w:val="22"/>
        </w:rPr>
        <w:t>BSc</w:t>
      </w:r>
      <w:proofErr w:type="spellEnd"/>
      <w:r w:rsidRPr="004E38B1">
        <w:rPr>
          <w:rFonts w:ascii="Arial Narrow" w:hAnsi="Arial Narrow"/>
          <w:sz w:val="22"/>
          <w:szCs w:val="22"/>
        </w:rPr>
        <w:t>/</w:t>
      </w:r>
      <w:proofErr w:type="spellStart"/>
      <w:r w:rsidRPr="004E38B1">
        <w:rPr>
          <w:rFonts w:ascii="Arial Narrow" w:hAnsi="Arial Narrow"/>
          <w:sz w:val="22"/>
          <w:szCs w:val="22"/>
        </w:rPr>
        <w:t>MSc</w:t>
      </w:r>
      <w:proofErr w:type="spellEnd"/>
      <w:r w:rsidRPr="004E38B1">
        <w:rPr>
          <w:rFonts w:ascii="Arial Narrow" w:hAnsi="Arial Narrow"/>
          <w:sz w:val="22"/>
          <w:szCs w:val="22"/>
        </w:rPr>
        <w:t xml:space="preserve"> szakos hallgatója a ,,………………… ………………………...</w:t>
      </w:r>
      <w:r w:rsidRPr="004E38B1">
        <w:rPr>
          <w:rFonts w:ascii="Arial Narrow" w:hAnsi="Arial Narrow"/>
          <w:b/>
          <w:sz w:val="22"/>
          <w:szCs w:val="22"/>
        </w:rPr>
        <w:t>………………………………………….</w:t>
      </w:r>
      <w:r w:rsidRPr="004E38B1">
        <w:rPr>
          <w:rFonts w:ascii="Arial Narrow" w:hAnsi="Arial Narrow"/>
          <w:sz w:val="22"/>
          <w:szCs w:val="22"/>
        </w:rPr>
        <w:t>……………………….</w:t>
      </w:r>
      <w:r w:rsidRPr="004E38B1">
        <w:rPr>
          <w:rFonts w:ascii="Arial Narrow" w:hAnsi="Arial Narrow"/>
          <w:i/>
          <w:sz w:val="22"/>
          <w:szCs w:val="22"/>
        </w:rPr>
        <w:t>”</w:t>
      </w:r>
      <w:r w:rsidRPr="004E38B1">
        <w:rPr>
          <w:rFonts w:ascii="Arial Narrow" w:hAnsi="Arial Narrow"/>
          <w:sz w:val="22"/>
          <w:szCs w:val="22"/>
        </w:rPr>
        <w:t xml:space="preserve"> című szakdolgozatában/diplomamunkájában (továbbiakban: Szakdolgozat) olyan bizalmasnak minősülő információkat, adatokat rögzít, amelyek zártkörű kezelése (a továbbiakban: titkosítása) indokolt a Társaság üzleti érdekeinek védelme érdekében.</w:t>
      </w:r>
      <w:proofErr w:type="gramEnd"/>
    </w:p>
    <w:p w:rsidR="00D613A1" w:rsidRPr="004E38B1" w:rsidRDefault="00D613A1" w:rsidP="00D613A1">
      <w:pPr>
        <w:pStyle w:val="Listaszerbekezds"/>
        <w:numPr>
          <w:ilvl w:val="1"/>
          <w:numId w:val="1"/>
        </w:numPr>
        <w:spacing w:before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az Óbudai Egyetem Tanulmányi és Vizsgaszabályzatának és Tanulmányi Ügyrend szabályzatának (a továbbiakban együtt: Szabályzat), megfelelően a Hallgató és a Társaság kérelmezték a Szakdolgozat titkosítását.</w:t>
      </w:r>
    </w:p>
    <w:p w:rsidR="00D613A1" w:rsidRPr="004E38B1" w:rsidRDefault="00D613A1" w:rsidP="00D613A1">
      <w:pPr>
        <w:numPr>
          <w:ilvl w:val="0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A megállapodás tárgya</w:t>
      </w:r>
    </w:p>
    <w:p w:rsidR="00D613A1" w:rsidRDefault="00D613A1" w:rsidP="00D613A1">
      <w:pPr>
        <w:numPr>
          <w:ilvl w:val="1"/>
          <w:numId w:val="1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jelen megállapodás aláírásával tudomásul veszi, hogy a Szakdolgozatban szereplő, a Szakdolgozattal összefüggésben a Társaságtól származó személyes, informatikai, üzleti, műszaki és egyéb információ (a továbbiakban együttesen: Információ) bizalmas természetű és a Társaság tulajdonát képezi. Felek jelen megállapodás aláírásával tudomásul veszik és kijelentik, hogy az elkészült Szakdolgozat és mellékletei jelen titoktartási megállapodás hatálya alá tartoznak.</w:t>
      </w:r>
    </w:p>
    <w:p w:rsidR="00D613A1" w:rsidRPr="004E38B1" w:rsidRDefault="00D613A1" w:rsidP="00D613A1">
      <w:pPr>
        <w:numPr>
          <w:ilvl w:val="0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Felek jogai és kötelezettségei</w:t>
      </w:r>
    </w:p>
    <w:p w:rsidR="00D613A1" w:rsidRPr="004E38B1" w:rsidRDefault="00D613A1" w:rsidP="00D613A1">
      <w:pPr>
        <w:numPr>
          <w:ilvl w:val="1"/>
          <w:numId w:val="1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A 2.1. pontban foglaltakra tekintettel az Egyetem a Szakdolgozatot a titoktartás szabályai és a Szabályzatban foglaltak szerint köteles kezelni. Az Egyetem vállalja, hogy a Szakdolgozatot üzleti </w:t>
      </w:r>
      <w:r w:rsidRPr="004E38B1">
        <w:rPr>
          <w:rFonts w:ascii="Arial Narrow" w:hAnsi="Arial Narrow"/>
          <w:sz w:val="22"/>
          <w:szCs w:val="22"/>
        </w:rPr>
        <w:lastRenderedPageBreak/>
        <w:t>titokként kezeli, azt a szerződés időtartama alatt harmadik személyek tudomására nem hozza, illetve semmilyen módon nem teszi hozzáférhetővé a Társaság előzetes írásbeli engedélye nélkül.</w:t>
      </w: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Társaság kijelenti, hogy az Óbudai Egyetem Szabályzatának a titkosított szakdolgozatok kezelésének eljárási rendjében foglaltakat megismerte és az abban foglalt rendelkezéseket a jelen megállapodás alkalmazásának vonatkozásában elfogadja. </w:t>
      </w: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vállalja, hogy a Szabályzat szerinti eljárásrend alkalmazásával kerül sor a titkosított Szakdolgozat megvédésére. A 3.1. pontban előírt titoktartási kötelezettség alól kivételt képez a Szakdolgozat megvédésének folyamata, ahol az értékelő bizottság tagjai – előzetes titoktartási nyilatkozat aláírását követően – megismerik a Szakdolgozat tartalmát.</w:t>
      </w: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kötelezettséget vállal arra, hogy kizárólag azok a munkavállalói ismerhetik meg a Szakdolgozat tartalmát, akik tekintetében ez feltétlenül szükséges a Szakdolgozat intézményen belüli, szabályos kezelése céljából. Az Egyetem köteles gondoskodni arról, hogy a titoktartási kötelezettség kiterjed az Egyetem munkavállalóira.</w:t>
      </w: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Társaság tudomásul veszi, hogy a Szakdolgozat elektronikus formátumú változata a Szabályzat értelmében feltöltésre kerül az intézményi könyvtárakba, ahol lehetőség van a titkosításhoz szükséges elérési jogosultsági szint beállítására.</w:t>
      </w: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megállapodnak, hogy a titkosított Szakdolgozat kapcsán az alábbi adatok nyilvánosak, azaz nem képezik jelen megállapodás tárgyát:</w:t>
      </w:r>
    </w:p>
    <w:p w:rsidR="00D613A1" w:rsidRPr="004E38B1" w:rsidRDefault="00D613A1" w:rsidP="00D613A1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proofErr w:type="gramStart"/>
      <w:r w:rsidRPr="004E38B1">
        <w:rPr>
          <w:rFonts w:ascii="Arial Narrow" w:hAnsi="Arial Narrow"/>
          <w:sz w:val="22"/>
          <w:szCs w:val="22"/>
        </w:rPr>
        <w:t>a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) </w:t>
      </w:r>
      <w:proofErr w:type="spellStart"/>
      <w:r w:rsidRPr="004E38B1">
        <w:rPr>
          <w:rFonts w:ascii="Arial Narrow" w:hAnsi="Arial Narrow"/>
          <w:sz w:val="22"/>
          <w:szCs w:val="22"/>
        </w:rPr>
        <w:t>a</w:t>
      </w:r>
      <w:proofErr w:type="spellEnd"/>
      <w:r w:rsidRPr="004E38B1">
        <w:rPr>
          <w:rFonts w:ascii="Arial Narrow" w:hAnsi="Arial Narrow"/>
          <w:sz w:val="22"/>
          <w:szCs w:val="22"/>
        </w:rPr>
        <w:t xml:space="preserve"> szakdolgozat címe, a szerző és témavezető neve és a védés időpontja</w:t>
      </w:r>
    </w:p>
    <w:p w:rsidR="00D613A1" w:rsidRDefault="00D613A1" w:rsidP="00D613A1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b) a titkosítás ténye és a titkosítás határidejének várható lejárta.</w:t>
      </w: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left="426"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megállapodnak, hogy jelen megállapodás időtartama az aláírásának napjától </w:t>
      </w:r>
      <w:proofErr w:type="gramStart"/>
      <w:r w:rsidRPr="004E38B1">
        <w:rPr>
          <w:rFonts w:ascii="Arial Narrow" w:hAnsi="Arial Narrow"/>
          <w:sz w:val="22"/>
          <w:szCs w:val="22"/>
        </w:rPr>
        <w:t xml:space="preserve">számított </w:t>
      </w:r>
      <w:r>
        <w:rPr>
          <w:rFonts w:ascii="Arial Narrow" w:hAnsi="Arial Narrow"/>
          <w:b/>
          <w:sz w:val="22"/>
          <w:szCs w:val="22"/>
        </w:rPr>
        <w:t>…</w:t>
      </w:r>
      <w:proofErr w:type="gramEnd"/>
      <w:r>
        <w:rPr>
          <w:rFonts w:ascii="Arial Narrow" w:hAnsi="Arial Narrow"/>
          <w:b/>
          <w:sz w:val="22"/>
          <w:szCs w:val="22"/>
        </w:rPr>
        <w:t>…..</w:t>
      </w:r>
      <w:r w:rsidRPr="004E38B1">
        <w:rPr>
          <w:rFonts w:ascii="Arial Narrow" w:hAnsi="Arial Narrow"/>
          <w:sz w:val="22"/>
          <w:szCs w:val="22"/>
        </w:rPr>
        <w:t xml:space="preserve"> év időtartamra szól. Ennek megfelelően a Szakdolgozatra vonatkozóan az Egyetem titoktartási </w:t>
      </w:r>
      <w:proofErr w:type="gramStart"/>
      <w:r w:rsidRPr="004E38B1">
        <w:rPr>
          <w:rFonts w:ascii="Arial Narrow" w:hAnsi="Arial Narrow"/>
          <w:sz w:val="22"/>
          <w:szCs w:val="22"/>
        </w:rPr>
        <w:t xml:space="preserve">kötelezettsége </w:t>
      </w:r>
      <w:r>
        <w:rPr>
          <w:rFonts w:ascii="Arial Narrow" w:hAnsi="Arial Narrow"/>
          <w:b/>
          <w:sz w:val="22"/>
          <w:szCs w:val="22"/>
        </w:rPr>
        <w:t>…</w:t>
      </w:r>
      <w:proofErr w:type="gramEnd"/>
      <w:r>
        <w:rPr>
          <w:rFonts w:ascii="Arial Narrow" w:hAnsi="Arial Narrow"/>
          <w:b/>
          <w:sz w:val="22"/>
          <w:szCs w:val="22"/>
        </w:rPr>
        <w:t>………</w:t>
      </w:r>
      <w:r w:rsidRPr="004E38B1">
        <w:rPr>
          <w:rFonts w:ascii="Arial Narrow" w:hAnsi="Arial Narrow"/>
          <w:sz w:val="22"/>
          <w:szCs w:val="22"/>
        </w:rPr>
        <w:t xml:space="preserve"> év elteltével megszűnik és Társaság hozzájárul, hogy ezen idő leteltét követően a Szakdolgozat nyilvánosságra kerüljön.</w:t>
      </w: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proofErr w:type="gramStart"/>
      <w:r w:rsidRPr="004E38B1">
        <w:rPr>
          <w:rFonts w:ascii="Arial Narrow" w:hAnsi="Arial Narrow"/>
          <w:sz w:val="22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</w:t>
      </w:r>
      <w:proofErr w:type="spellStart"/>
      <w:r w:rsidRPr="004E38B1">
        <w:rPr>
          <w:rFonts w:ascii="Arial Narrow" w:hAnsi="Arial Narrow"/>
          <w:sz w:val="22"/>
          <w:szCs w:val="22"/>
        </w:rPr>
        <w:t>tényéről</w:t>
      </w:r>
      <w:proofErr w:type="spellEnd"/>
      <w:r w:rsidRPr="004E38B1">
        <w:rPr>
          <w:rFonts w:ascii="Arial Narrow" w:hAnsi="Arial Narrow"/>
          <w:sz w:val="22"/>
          <w:szCs w:val="22"/>
        </w:rPr>
        <w:t xml:space="preserve"> és jogszabály alapján,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 illetve az eljárás során átadandó információk mértékéről.</w:t>
      </w:r>
    </w:p>
    <w:p w:rsidR="00D613A1" w:rsidRPr="004E38B1" w:rsidRDefault="00D613A1" w:rsidP="00D613A1">
      <w:pPr>
        <w:numPr>
          <w:ilvl w:val="1"/>
          <w:numId w:val="1"/>
        </w:numPr>
        <w:spacing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Nem állapítható meg titoktartási kötelezettség továbbá az információk következő csoportjára:</w:t>
      </w:r>
    </w:p>
    <w:p w:rsidR="00D613A1" w:rsidRPr="004E38B1" w:rsidRDefault="00D613A1" w:rsidP="00D613A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(i) azon információ, amely nem az Egyetem hibájából vagy szerződésszegésének következtében került nyilvánosságra;</w:t>
      </w:r>
    </w:p>
    <w:p w:rsidR="00D613A1" w:rsidRPr="004E38B1" w:rsidRDefault="00D613A1" w:rsidP="00D613A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(</w:t>
      </w:r>
      <w:proofErr w:type="spellStart"/>
      <w:r w:rsidRPr="004E38B1">
        <w:rPr>
          <w:rFonts w:ascii="Arial Narrow" w:hAnsi="Arial Narrow"/>
          <w:sz w:val="22"/>
          <w:szCs w:val="22"/>
        </w:rPr>
        <w:t>ii</w:t>
      </w:r>
      <w:proofErr w:type="spellEnd"/>
      <w:r w:rsidRPr="004E38B1">
        <w:rPr>
          <w:rFonts w:ascii="Arial Narrow" w:hAnsi="Arial Narrow"/>
          <w:sz w:val="22"/>
          <w:szCs w:val="22"/>
        </w:rPr>
        <w:t>) azon információ, amely a Társaság tudtán kívül már az átadás időpontjában közismert vagy bárki számára megismerhető volt;</w:t>
      </w:r>
    </w:p>
    <w:p w:rsidR="00D613A1" w:rsidRDefault="00D613A1" w:rsidP="00D613A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(</w:t>
      </w:r>
      <w:proofErr w:type="spellStart"/>
      <w:r w:rsidRPr="004E38B1">
        <w:rPr>
          <w:rFonts w:ascii="Arial Narrow" w:hAnsi="Arial Narrow"/>
          <w:sz w:val="22"/>
          <w:szCs w:val="22"/>
        </w:rPr>
        <w:t>iii</w:t>
      </w:r>
      <w:proofErr w:type="spellEnd"/>
      <w:r w:rsidRPr="004E38B1">
        <w:rPr>
          <w:rFonts w:ascii="Arial Narrow" w:hAnsi="Arial Narrow"/>
          <w:sz w:val="22"/>
          <w:szCs w:val="22"/>
        </w:rPr>
        <w:t>) azon információ, amely olyan személy által jutott nyilvánosságra, akiért Felek nem felelnek.</w:t>
      </w:r>
    </w:p>
    <w:p w:rsidR="00D613A1" w:rsidRPr="004E38B1" w:rsidRDefault="00D613A1" w:rsidP="00D613A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következő kapcsolattartó személyeken keresztül értesítik egymást jelen szerződéssel kapcsolatosan.</w:t>
      </w:r>
    </w:p>
    <w:p w:rsidR="00D613A1" w:rsidRPr="004E38B1" w:rsidRDefault="00D613A1" w:rsidP="00D613A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lastRenderedPageBreak/>
        <w:t>Az Egyetem részéről:</w:t>
      </w:r>
    </w:p>
    <w:p w:rsidR="00D613A1" w:rsidRPr="004E38B1" w:rsidRDefault="00D613A1" w:rsidP="00D613A1">
      <w:pPr>
        <w:pStyle w:val="Listaszerbekezds"/>
        <w:spacing w:line="276" w:lineRule="auto"/>
        <w:ind w:left="709" w:right="790" w:hanging="1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Név, beosztás:</w:t>
      </w:r>
      <w:r w:rsidR="00471234">
        <w:rPr>
          <w:rFonts w:ascii="Arial Narrow" w:hAnsi="Arial Narrow"/>
          <w:sz w:val="22"/>
          <w:szCs w:val="22"/>
        </w:rPr>
        <w:t xml:space="preserve"> Baksa Noémi igazgatási ügyintéző</w:t>
      </w:r>
    </w:p>
    <w:p w:rsidR="00D613A1" w:rsidRPr="004E38B1" w:rsidRDefault="00D613A1" w:rsidP="00D613A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  <w:r w:rsidR="00471234">
        <w:rPr>
          <w:rFonts w:ascii="Arial Narrow" w:hAnsi="Arial Narrow"/>
          <w:sz w:val="22"/>
          <w:szCs w:val="22"/>
        </w:rPr>
        <w:t>06-1-666-5314</w:t>
      </w:r>
    </w:p>
    <w:p w:rsidR="00D613A1" w:rsidRPr="004E38B1" w:rsidRDefault="00D613A1" w:rsidP="00D613A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  <w:r w:rsidR="00471234">
        <w:rPr>
          <w:rFonts w:ascii="Arial Narrow" w:hAnsi="Arial Narrow"/>
          <w:sz w:val="22"/>
          <w:szCs w:val="22"/>
        </w:rPr>
        <w:t>baksa.noemi@bgk.uni-obuda.hu</w:t>
      </w:r>
    </w:p>
    <w:p w:rsidR="00D613A1" w:rsidRPr="004E38B1" w:rsidRDefault="00D613A1" w:rsidP="00D613A1">
      <w:pPr>
        <w:pStyle w:val="Listaszerbekezds"/>
        <w:spacing w:before="120" w:line="276" w:lineRule="auto"/>
        <w:ind w:left="709" w:right="788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t>A Társaság részéről:</w:t>
      </w:r>
    </w:p>
    <w:p w:rsidR="00D613A1" w:rsidRPr="004E38B1" w:rsidRDefault="00D613A1" w:rsidP="00D613A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Név, beosztás: </w:t>
      </w:r>
    </w:p>
    <w:p w:rsidR="00D613A1" w:rsidRPr="004E38B1" w:rsidRDefault="00D613A1" w:rsidP="00D613A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</w:p>
    <w:p w:rsidR="00D613A1" w:rsidRPr="004E38B1" w:rsidRDefault="00D613A1" w:rsidP="00D613A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</w:p>
    <w:p w:rsidR="00D613A1" w:rsidRPr="004E38B1" w:rsidRDefault="00D613A1" w:rsidP="00D613A1">
      <w:pPr>
        <w:pStyle w:val="c1"/>
        <w:numPr>
          <w:ilvl w:val="0"/>
          <w:numId w:val="0"/>
        </w:numPr>
        <w:spacing w:before="120" w:line="276" w:lineRule="auto"/>
        <w:ind w:left="425"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D613A1" w:rsidRPr="004E38B1" w:rsidRDefault="00D613A1" w:rsidP="00D613A1">
      <w:pPr>
        <w:numPr>
          <w:ilvl w:val="0"/>
          <w:numId w:val="1"/>
        </w:numPr>
        <w:spacing w:before="120" w:after="120" w:line="276" w:lineRule="auto"/>
        <w:ind w:left="357" w:right="788" w:hanging="357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Egyéb rendelkezések</w:t>
      </w:r>
    </w:p>
    <w:p w:rsidR="00D613A1" w:rsidRPr="004E38B1" w:rsidRDefault="00D613A1" w:rsidP="00D613A1">
      <w:pPr>
        <w:numPr>
          <w:ilvl w:val="1"/>
          <w:numId w:val="1"/>
        </w:numPr>
        <w:spacing w:line="276" w:lineRule="auto"/>
        <w:ind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D613A1" w:rsidRPr="004E38B1" w:rsidRDefault="00D613A1" w:rsidP="00D613A1">
      <w:pPr>
        <w:numPr>
          <w:ilvl w:val="1"/>
          <w:numId w:val="1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 jelen megállapodásban nem szabályozott kérdések tekintetében a Ptk. rendelkezései, a hatályos magyar jogszabályok és a Szabályzat rendelkezései az irányadók.</w:t>
      </w:r>
    </w:p>
    <w:p w:rsidR="00D613A1" w:rsidRPr="004E38B1" w:rsidRDefault="00D613A1" w:rsidP="00D613A1">
      <w:pPr>
        <w:numPr>
          <w:ilvl w:val="1"/>
          <w:numId w:val="1"/>
        </w:numPr>
        <w:spacing w:line="276" w:lineRule="auto"/>
        <w:ind w:left="426"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Jelen megállapodás 4 (azaz négy) egymással szó szerint egyező eredeti példányban készült.</w:t>
      </w:r>
    </w:p>
    <w:p w:rsidR="00D613A1" w:rsidRPr="004E38B1" w:rsidRDefault="00D613A1" w:rsidP="00D613A1">
      <w:pPr>
        <w:spacing w:line="276" w:lineRule="auto"/>
        <w:ind w:left="-6" w:right="790"/>
        <w:rPr>
          <w:rFonts w:ascii="Arial Narrow" w:hAnsi="Arial Narrow"/>
          <w:sz w:val="22"/>
          <w:szCs w:val="22"/>
        </w:rPr>
      </w:pPr>
    </w:p>
    <w:p w:rsidR="00D613A1" w:rsidRDefault="00D613A1" w:rsidP="00D613A1">
      <w:pPr>
        <w:spacing w:line="276" w:lineRule="auto"/>
        <w:ind w:left="-6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D613A1" w:rsidRPr="004E38B1" w:rsidRDefault="00D613A1" w:rsidP="00D613A1">
      <w:pPr>
        <w:spacing w:line="276" w:lineRule="auto"/>
        <w:ind w:left="-6" w:right="790"/>
        <w:rPr>
          <w:rFonts w:ascii="Arial Narrow" w:hAnsi="Arial Narrow"/>
          <w:b/>
          <w:sz w:val="22"/>
          <w:szCs w:val="22"/>
        </w:rPr>
      </w:pPr>
    </w:p>
    <w:tbl>
      <w:tblPr>
        <w:tblW w:w="91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D613A1" w:rsidRPr="004E38B1" w:rsidTr="0035005D">
        <w:trPr>
          <w:trHeight w:val="1506"/>
        </w:trPr>
        <w:tc>
          <w:tcPr>
            <w:tcW w:w="4678" w:type="dxa"/>
          </w:tcPr>
          <w:p w:rsidR="00D613A1" w:rsidRPr="004E38B1" w:rsidRDefault="00D613A1" w:rsidP="0035005D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D613A1" w:rsidRPr="004E38B1" w:rsidRDefault="00D613A1" w:rsidP="0035005D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D613A1" w:rsidRPr="004E38B1" w:rsidRDefault="00D613A1" w:rsidP="0035005D">
            <w:pPr>
              <w:tabs>
                <w:tab w:val="left" w:pos="0"/>
              </w:tabs>
              <w:spacing w:line="276" w:lineRule="auto"/>
              <w:ind w:left="1276" w:right="790" w:hanging="1134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E38B1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4E38B1">
              <w:rPr>
                <w:rFonts w:ascii="Arial Narrow" w:hAnsi="Arial Narrow"/>
                <w:b/>
                <w:sz w:val="22"/>
                <w:szCs w:val="22"/>
              </w:rPr>
              <w:t>…</w:t>
            </w:r>
            <w:proofErr w:type="gramEnd"/>
            <w:r w:rsidRPr="004E38B1">
              <w:rPr>
                <w:rFonts w:ascii="Arial Narrow" w:hAnsi="Arial Narrow"/>
                <w:b/>
                <w:sz w:val="22"/>
                <w:szCs w:val="22"/>
              </w:rPr>
              <w:t>………………………..</w:t>
            </w:r>
            <w:r w:rsidRPr="004E38B1">
              <w:rPr>
                <w:rFonts w:ascii="Arial Narrow" w:hAnsi="Arial Narrow"/>
                <w:sz w:val="22"/>
                <w:szCs w:val="22"/>
              </w:rPr>
              <w:t xml:space="preserve"> (Társaság) képviseletében:</w:t>
            </w:r>
          </w:p>
          <w:p w:rsidR="00D613A1" w:rsidRPr="004E38B1" w:rsidRDefault="00D613A1" w:rsidP="0035005D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D613A1" w:rsidRPr="004E38B1" w:rsidRDefault="00D613A1" w:rsidP="0035005D">
            <w:pPr>
              <w:spacing w:line="276" w:lineRule="auto"/>
              <w:ind w:right="790" w:firstLine="708"/>
              <w:rPr>
                <w:rFonts w:ascii="Arial Narrow" w:hAnsi="Arial Narrow"/>
                <w:sz w:val="22"/>
                <w:szCs w:val="22"/>
              </w:rPr>
            </w:pPr>
          </w:p>
          <w:p w:rsidR="00D613A1" w:rsidRPr="004E38B1" w:rsidRDefault="00D613A1" w:rsidP="0035005D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D613A1" w:rsidRDefault="00D613A1" w:rsidP="0035005D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             A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 Óbudai </w:t>
            </w:r>
            <w:proofErr w:type="gramStart"/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Egyetem        </w:t>
            </w:r>
            <w:r w:rsidRPr="004E38B1">
              <w:rPr>
                <w:rFonts w:ascii="Arial Narrow" w:hAnsi="Arial Narrow"/>
                <w:sz w:val="22"/>
                <w:szCs w:val="22"/>
              </w:rPr>
              <w:t>képviseletében</w:t>
            </w:r>
            <w:proofErr w:type="gramEnd"/>
            <w:r w:rsidRPr="004E38B1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D613A1" w:rsidRDefault="00D613A1" w:rsidP="0035005D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D613A1" w:rsidRDefault="00D613A1" w:rsidP="0035005D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D613A1" w:rsidRPr="004E38B1" w:rsidRDefault="00D613A1" w:rsidP="0035005D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13A1" w:rsidRPr="00463C53" w:rsidRDefault="00D613A1" w:rsidP="00D613A1">
      <w:pPr>
        <w:rPr>
          <w:vanish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D613A1" w:rsidRPr="004E38B1" w:rsidTr="0035005D">
        <w:tc>
          <w:tcPr>
            <w:tcW w:w="4644" w:type="dxa"/>
          </w:tcPr>
          <w:p w:rsidR="00D613A1" w:rsidRPr="004E38B1" w:rsidRDefault="00D613A1" w:rsidP="0035005D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D613A1" w:rsidRPr="004E38B1" w:rsidRDefault="00D613A1" w:rsidP="0035005D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D613A1" w:rsidRPr="004E38B1" w:rsidTr="0035005D">
        <w:tc>
          <w:tcPr>
            <w:tcW w:w="4644" w:type="dxa"/>
          </w:tcPr>
          <w:p w:rsidR="00D613A1" w:rsidRPr="004E38B1" w:rsidRDefault="00D613A1" w:rsidP="0035005D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…………..</w:t>
            </w:r>
          </w:p>
          <w:p w:rsidR="00D613A1" w:rsidRPr="004E38B1" w:rsidRDefault="00D613A1" w:rsidP="0035005D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D613A1" w:rsidRPr="004E38B1" w:rsidRDefault="00D613A1" w:rsidP="0035005D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13A1" w:rsidRDefault="00D613A1" w:rsidP="00D613A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D613A1" w:rsidRDefault="00D613A1" w:rsidP="00D613A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D613A1" w:rsidRPr="00B36A31" w:rsidRDefault="00D613A1" w:rsidP="00D613A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fenti megállapodásban foglaltakat megismertem és tudomásul vettem:</w:t>
      </w:r>
    </w:p>
    <w:p w:rsidR="00D613A1" w:rsidRPr="00B36A31" w:rsidRDefault="00D613A1" w:rsidP="00D613A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Budapest, </w:t>
      </w:r>
      <w:r>
        <w:rPr>
          <w:rFonts w:ascii="Arial Narrow" w:hAnsi="Arial Narrow"/>
          <w:sz w:val="22"/>
          <w:szCs w:val="22"/>
        </w:rPr>
        <w:t>20</w:t>
      </w:r>
    </w:p>
    <w:p w:rsidR="00D613A1" w:rsidRPr="00B36A31" w:rsidRDefault="00D613A1" w:rsidP="00D613A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D613A1" w:rsidRPr="00B36A31" w:rsidRDefault="00D613A1" w:rsidP="00D613A1">
      <w:pPr>
        <w:pStyle w:val="Szvegtrzsbehzssal"/>
        <w:spacing w:line="276" w:lineRule="auto"/>
        <w:ind w:left="0" w:right="790"/>
        <w:jc w:val="right"/>
        <w:rPr>
          <w:rFonts w:ascii="Arial Narrow" w:hAnsi="Arial Narrow"/>
          <w:sz w:val="22"/>
          <w:szCs w:val="22"/>
        </w:rPr>
      </w:pPr>
    </w:p>
    <w:p w:rsidR="00D613A1" w:rsidRPr="00B36A31" w:rsidRDefault="00D613A1" w:rsidP="00D613A1">
      <w:pPr>
        <w:pStyle w:val="Szvegtrzsbehzssal"/>
        <w:spacing w:line="276" w:lineRule="auto"/>
        <w:ind w:left="0" w:right="790"/>
        <w:jc w:val="right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…………………………….……………………</w:t>
      </w:r>
    </w:p>
    <w:p w:rsidR="00D02C13" w:rsidRPr="00D613A1" w:rsidRDefault="00D613A1" w:rsidP="00D613A1">
      <w:pPr>
        <w:pStyle w:val="Szvegtrzsbehzssal"/>
        <w:spacing w:line="276" w:lineRule="auto"/>
        <w:ind w:left="4320" w:right="790" w:firstLine="720"/>
        <w:jc w:val="center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                      </w:t>
      </w:r>
      <w:proofErr w:type="gramStart"/>
      <w:r w:rsidRPr="00B36A31">
        <w:rPr>
          <w:rFonts w:ascii="Arial Narrow" w:hAnsi="Arial Narrow"/>
          <w:sz w:val="22"/>
          <w:szCs w:val="22"/>
        </w:rPr>
        <w:t>hallgató</w:t>
      </w:r>
      <w:proofErr w:type="gramEnd"/>
    </w:p>
    <w:sectPr w:rsidR="00D02C13" w:rsidRPr="00D613A1" w:rsidSect="00471234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A8" w:rsidRDefault="00F44BA8" w:rsidP="00D613A1">
      <w:r>
        <w:separator/>
      </w:r>
    </w:p>
  </w:endnote>
  <w:endnote w:type="continuationSeparator" w:id="0">
    <w:p w:rsidR="00F44BA8" w:rsidRDefault="00F44BA8" w:rsidP="00D6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A8" w:rsidRDefault="00F44BA8" w:rsidP="00D613A1">
      <w:r>
        <w:separator/>
      </w:r>
    </w:p>
  </w:footnote>
  <w:footnote w:type="continuationSeparator" w:id="0">
    <w:p w:rsidR="00F44BA8" w:rsidRDefault="00F44BA8" w:rsidP="00D6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1"/>
    <w:rsid w:val="00471234"/>
    <w:rsid w:val="00D02C13"/>
    <w:rsid w:val="00D613A1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3A1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613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13A1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D613A1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13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613A1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D613A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613A1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13A1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D613A1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D613A1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D613A1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3A1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613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13A1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D613A1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13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613A1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D613A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613A1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13A1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D613A1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D613A1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D613A1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Nyergesné</cp:lastModifiedBy>
  <cp:revision>2</cp:revision>
  <dcterms:created xsi:type="dcterms:W3CDTF">2018-02-20T13:39:00Z</dcterms:created>
  <dcterms:modified xsi:type="dcterms:W3CDTF">2018-02-20T13:39:00Z</dcterms:modified>
</cp:coreProperties>
</file>