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B9" w:rsidRPr="0015269B" w:rsidRDefault="009244B9" w:rsidP="0015269B">
      <w:pPr>
        <w:pStyle w:val="Szvegtrzsbehzssal"/>
        <w:spacing w:line="276" w:lineRule="auto"/>
        <w:ind w:left="0"/>
        <w:jc w:val="center"/>
        <w:rPr>
          <w:rFonts w:ascii="Arial Narrow" w:eastAsia="Arial Narrow" w:hAnsi="Arial Narrow"/>
          <w:b/>
          <w:i/>
          <w:sz w:val="19"/>
        </w:rPr>
      </w:pPr>
      <w:r w:rsidRPr="00B36A31">
        <w:rPr>
          <w:rFonts w:ascii="Arial Narrow" w:hAnsi="Arial Narrow"/>
          <w:b/>
          <w:smallCaps/>
          <w:sz w:val="22"/>
          <w:szCs w:val="22"/>
        </w:rPr>
        <w:t>Titoktartási Megállapodás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9244B9" w:rsidRPr="00B36A31" w:rsidTr="004A1A50">
        <w:trPr>
          <w:trHeight w:val="1058"/>
        </w:trPr>
        <w:tc>
          <w:tcPr>
            <w:tcW w:w="9781" w:type="dxa"/>
            <w:gridSpan w:val="2"/>
            <w:shd w:val="clear" w:color="auto" w:fill="auto"/>
          </w:tcPr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sz w:val="22"/>
                <w:szCs w:val="22"/>
              </w:rPr>
              <w:t>amely létrejött egyrészről a</w:t>
            </w:r>
          </w:p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sz w:val="22"/>
                <w:szCs w:val="22"/>
              </w:rPr>
              <w:t>……………………………..</w:t>
            </w:r>
          </w:p>
        </w:tc>
      </w:tr>
      <w:tr w:rsidR="009244B9" w:rsidRPr="00B36A31" w:rsidTr="004A1A50">
        <w:trPr>
          <w:trHeight w:val="240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225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Cégjegyzékszám: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225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310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381"/>
        </w:trPr>
        <w:tc>
          <w:tcPr>
            <w:tcW w:w="9781" w:type="dxa"/>
            <w:gridSpan w:val="2"/>
            <w:shd w:val="clear" w:color="auto" w:fill="auto"/>
          </w:tcPr>
          <w:p w:rsidR="009244B9" w:rsidRPr="00B36A31" w:rsidRDefault="009244B9" w:rsidP="004A1A50">
            <w:pPr>
              <w:tabs>
                <w:tab w:val="left" w:pos="2859"/>
              </w:tabs>
              <w:spacing w:after="120"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(a továbbiakban: </w:t>
            </w:r>
            <w:r w:rsidRPr="00B36A31">
              <w:rPr>
                <w:rFonts w:ascii="Arial Narrow" w:hAnsi="Arial Narrow"/>
                <w:b/>
                <w:sz w:val="22"/>
                <w:szCs w:val="22"/>
              </w:rPr>
              <w:t>Társaság</w:t>
            </w:r>
            <w:r w:rsidRPr="00B36A31">
              <w:rPr>
                <w:rFonts w:ascii="Arial Narrow" w:hAnsi="Arial Narrow"/>
                <w:sz w:val="22"/>
                <w:szCs w:val="22"/>
              </w:rPr>
              <w:t>),</w:t>
            </w:r>
          </w:p>
        </w:tc>
      </w:tr>
      <w:tr w:rsidR="009244B9" w:rsidRPr="00B36A31" w:rsidTr="004A1A50">
        <w:trPr>
          <w:trHeight w:val="2948"/>
        </w:trPr>
        <w:tc>
          <w:tcPr>
            <w:tcW w:w="9781" w:type="dxa"/>
            <w:gridSpan w:val="2"/>
            <w:shd w:val="clear" w:color="auto" w:fill="auto"/>
          </w:tcPr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  <w:r w:rsidRPr="00B36A31">
              <w:rPr>
                <w:rFonts w:ascii="Arial Narrow" w:hAnsi="Arial Narrow"/>
                <w:bCs/>
                <w:sz w:val="22"/>
                <w:szCs w:val="22"/>
              </w:rPr>
              <w:t>másrészről a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244B9" w:rsidRPr="00E53BB8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bCs/>
                <w:sz w:val="22"/>
                <w:szCs w:val="22"/>
              </w:rPr>
              <w:t>…………………………….</w:t>
            </w:r>
            <w:r w:rsidRPr="00E53BB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Lakcím: 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Születési hely, idő: 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Anyja neve: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  <w:r w:rsidRPr="00B36A31">
              <w:rPr>
                <w:rFonts w:ascii="Arial Narrow" w:hAnsi="Arial Narrow"/>
                <w:bCs/>
                <w:sz w:val="22"/>
                <w:szCs w:val="22"/>
              </w:rPr>
              <w:t xml:space="preserve">(a továbbiakban: </w:t>
            </w:r>
            <w:r w:rsidRPr="00B36A31">
              <w:rPr>
                <w:rFonts w:ascii="Arial Narrow" w:hAnsi="Arial Narrow"/>
                <w:b/>
                <w:bCs/>
                <w:sz w:val="22"/>
                <w:szCs w:val="22"/>
              </w:rPr>
              <w:t>Hallgató</w:t>
            </w:r>
            <w:r w:rsidRPr="00B36A31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before="120" w:after="120" w:line="262" w:lineRule="auto"/>
              <w:ind w:left="34" w:right="-6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bCs/>
                <w:sz w:val="22"/>
                <w:szCs w:val="22"/>
              </w:rPr>
              <w:t xml:space="preserve">együttesen Felek (a továbbiakban: </w:t>
            </w:r>
            <w:r w:rsidRPr="00B36A31">
              <w:rPr>
                <w:rFonts w:ascii="Arial Narrow" w:hAnsi="Arial Narrow"/>
                <w:b/>
                <w:bCs/>
                <w:sz w:val="22"/>
                <w:szCs w:val="22"/>
              </w:rPr>
              <w:t>Felek</w:t>
            </w:r>
            <w:r w:rsidR="00E53BB8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before="120" w:after="120" w:line="262" w:lineRule="auto"/>
              <w:ind w:left="34" w:right="-6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before="120"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megállapodnak, hogy a Hallgató a ,,………………………………………………. ………………………………………..…………” című szakdolgozatát</w:t>
      </w:r>
      <w:r w:rsidR="00E53BB8">
        <w:rPr>
          <w:rFonts w:ascii="Arial Narrow" w:hAnsi="Arial Narrow"/>
          <w:sz w:val="22"/>
          <w:szCs w:val="22"/>
        </w:rPr>
        <w:t>/diplomamunkáját</w:t>
      </w:r>
      <w:r w:rsidRPr="00B36A31">
        <w:rPr>
          <w:rFonts w:ascii="Arial Narrow" w:hAnsi="Arial Narrow"/>
          <w:sz w:val="22"/>
          <w:szCs w:val="22"/>
        </w:rPr>
        <w:t xml:space="preserve"> (a továbbiakban: Szakdolgozat) ………………………………..</w:t>
      </w:r>
      <w:r w:rsidRPr="00B36A31">
        <w:rPr>
          <w:rFonts w:ascii="Arial Narrow" w:hAnsi="Arial Narrow"/>
          <w:color w:val="009900"/>
          <w:sz w:val="22"/>
          <w:szCs w:val="22"/>
        </w:rPr>
        <w:t xml:space="preserve"> </w:t>
      </w:r>
      <w:r w:rsidRPr="00B36A31">
        <w:rPr>
          <w:rFonts w:ascii="Arial Narrow" w:hAnsi="Arial Narrow"/>
          <w:sz w:val="22"/>
          <w:szCs w:val="22"/>
        </w:rPr>
        <w:t>külső konzulens felügyelete és koordinálása mellett, a Társaság közreműködésével készíti el. A Szakdolgozat készítése során a Hallgató a Társaságot érintő olyan információk birtokába juthat, amelyek a Társaságnál bizalmas információnak minősülnek és üzleti titok tárgyát képezik.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Hallgató a jelen megállapodásban foglaltak szerint kötelezettséget vállal arra, hogy a Szakdolgozat készítése során tudomására jutó valamennyi szellemi alkotást, üzleti információt, tervet, adatot, tényt, megoldást vagy egyéb anyagot, illetve dokumentációt, de különösen a Társaság üzleti titkaként és a bizalmas információként megjelölt ismereteket (a továbbiakban: Bizalmas Információ), valamint az elkészült Szakdolgozatot titkosan és bizalmasan kezeli, ezeket sem a szerződés időtartama alatt, sem pedig azt követően harmadik személyek tudomására nem hozza, illetve semmilyen módon nem teszi hozzáférhetővé, illetve azokkal a másik fél sérelmére semmilyen módon vissza nem él. Hallgató vállalja, hogy a Bizalmas Információkat kizárólag a Szakdolgozat készítéséhez szükséges körben és mértékben használja fel, ezen túlmenően egyéb felhasználást, további adatfeldolgozást nem végez.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Hallgató tudomásul veszi, hogy a szellemi alkotásokra és az üzleti titok felhasználására a Polgári Törvénykönyv (2013. évi V. törvény) és a Versenytörvény (1996. évi LVII. törvény)</w:t>
      </w:r>
      <w:r>
        <w:rPr>
          <w:rFonts w:ascii="Arial Narrow" w:hAnsi="Arial Narrow"/>
          <w:sz w:val="22"/>
          <w:szCs w:val="22"/>
        </w:rPr>
        <w:t>, és az üzleti titok védelméről szóló 2018. évi LIV. törvény</w:t>
      </w:r>
      <w:r w:rsidRPr="00B36A31">
        <w:rPr>
          <w:rFonts w:ascii="Arial Narrow" w:hAnsi="Arial Narrow"/>
          <w:sz w:val="22"/>
          <w:szCs w:val="22"/>
        </w:rPr>
        <w:t xml:space="preserve"> szabályainak vonatkozó rendelkezései az irányadók. A</w:t>
      </w:r>
      <w:r>
        <w:rPr>
          <w:rFonts w:ascii="Arial Narrow" w:hAnsi="Arial Narrow"/>
          <w:sz w:val="22"/>
          <w:szCs w:val="22"/>
        </w:rPr>
        <w:t>z üzleti titok védelméről szóló 2018. évi LIV. törvény</w:t>
      </w:r>
      <w:r w:rsidRPr="00B36A31">
        <w:rPr>
          <w:rFonts w:ascii="Arial Narrow" w:hAnsi="Arial Narrow"/>
          <w:sz w:val="22"/>
          <w:szCs w:val="22"/>
        </w:rPr>
        <w:t xml:space="preserve"> 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 xml:space="preserve">Hallgató kötelezettséget vállal arra, hogy a Szakdolgozatot kizárólag azon személyekkel ismerteti meg, akik tekintetében ez feltétlenül szükséges a Szakdolgozat intézményen belüli, szabályos kezelése céljából. </w:t>
      </w:r>
    </w:p>
    <w:p w:rsidR="009244B9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lastRenderedPageBreak/>
        <w:t>Felek megállapodnak, hogy jelen megállapodás időtartama az</w:t>
      </w:r>
      <w:r>
        <w:rPr>
          <w:rFonts w:ascii="Arial Narrow" w:hAnsi="Arial Narrow"/>
          <w:sz w:val="22"/>
          <w:szCs w:val="22"/>
        </w:rPr>
        <w:t xml:space="preserve"> aláírásának napjától számított ..........</w:t>
      </w:r>
      <w:r w:rsidRPr="00B36A31">
        <w:rPr>
          <w:rFonts w:ascii="Arial Narrow" w:hAnsi="Arial Narrow"/>
          <w:sz w:val="22"/>
          <w:szCs w:val="22"/>
        </w:rPr>
        <w:t xml:space="preserve"> év időtartamra szól. Amennyiben a Szakdolgozat titkosítása ennél hosszabb időtartamra történik, úgy a megállapodás időbeli hatálya automatikusan meghosszabbodik a Szakdolgozat titkosításának időtartamára.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Hallgató tudomásul veszi, hogy a titoktartási kötelezettség részben vagy egészben történő megszegésért teljes polgári jogi és büntetőjogi felelősséggel tartozik.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line="262" w:lineRule="auto"/>
        <w:ind w:left="426" w:right="648" w:hanging="426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Nem állapítható meg titoktartási kötelezettség továbbá az információk következő csoportjára:</w:t>
      </w:r>
    </w:p>
    <w:p w:rsidR="009244B9" w:rsidRPr="00B36A31" w:rsidRDefault="009244B9" w:rsidP="009244B9">
      <w:pPr>
        <w:spacing w:line="262" w:lineRule="auto"/>
        <w:ind w:left="709" w:right="648" w:hanging="283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(i) azon információ, amely nem a Hallgató hibájából vagy szerződésszegésének következtében került nyilvánosságra;</w:t>
      </w:r>
    </w:p>
    <w:p w:rsidR="009244B9" w:rsidRPr="00B36A31" w:rsidRDefault="009244B9" w:rsidP="009244B9">
      <w:pPr>
        <w:spacing w:line="262" w:lineRule="auto"/>
        <w:ind w:left="709" w:right="648" w:hanging="283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(ii) azon információ, amely a Hallgató tudtán kívül már az átadás időpontjában közismert vagy bárki számára megismerhető volt;</w:t>
      </w:r>
    </w:p>
    <w:p w:rsidR="009244B9" w:rsidRPr="00B36A31" w:rsidRDefault="009244B9" w:rsidP="009244B9">
      <w:pPr>
        <w:spacing w:after="120" w:line="262" w:lineRule="auto"/>
        <w:ind w:left="709" w:right="648" w:hanging="284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(iii) azon információ, amely olyan személy által jutott nyilvánosságra, akiért Felek nem felelnek.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a jelen megállapodásból eredő vitás kérdéseket elsődlegesen tárgyalás útján egymás között rendezik, amennyiben ez 60 napon belül nem vezet eredményre, úgy Felek a Polgári Perrendtartásról szóló törvény mindenkori szabályai szerint járnak el.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jelen megállapodásban nem szabályozott kérdések tekintetében a Ptk. rendelkezései és a hatályos magyar jogszabályok rendelkezései az irányadók.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line="262" w:lineRule="auto"/>
        <w:ind w:left="426" w:right="648" w:hanging="426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Jelen megállapodás 3 (azaz három) egymással szó szerint egyező eredeti példányban készült, melyből 2 (azaz kettő) példány a Társaságot, és 1 (azaz egy) példány a Hallgatót illeti meg.</w:t>
      </w:r>
    </w:p>
    <w:p w:rsidR="009244B9" w:rsidRPr="00B36A31" w:rsidRDefault="009244B9" w:rsidP="009244B9">
      <w:pPr>
        <w:spacing w:line="262" w:lineRule="auto"/>
        <w:ind w:right="648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262" w:lineRule="auto"/>
        <w:ind w:left="-6" w:right="648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jelen szerződést, mint akaratukkal mindenben megegyezőt, jóváhagyólag és saját kezűleg írták alá.</w:t>
      </w:r>
    </w:p>
    <w:p w:rsidR="009244B9" w:rsidRPr="00B36A31" w:rsidRDefault="009244B9" w:rsidP="009244B9">
      <w:pPr>
        <w:spacing w:line="262" w:lineRule="auto"/>
        <w:ind w:left="567" w:right="648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262" w:lineRule="auto"/>
        <w:ind w:left="567"/>
        <w:jc w:val="both"/>
        <w:rPr>
          <w:rFonts w:ascii="Arial Narrow" w:hAnsi="Arial Narrow"/>
          <w:sz w:val="22"/>
          <w:szCs w:val="22"/>
        </w:rPr>
      </w:pPr>
    </w:p>
    <w:p w:rsidR="009244B9" w:rsidRDefault="009244B9" w:rsidP="009244B9">
      <w:pPr>
        <w:spacing w:line="262" w:lineRule="auto"/>
        <w:rPr>
          <w:rFonts w:ascii="Arial Narrow" w:hAnsi="Arial Narrow"/>
          <w:sz w:val="22"/>
          <w:szCs w:val="22"/>
        </w:rPr>
      </w:pPr>
      <w:r w:rsidRPr="008D62E1">
        <w:rPr>
          <w:rFonts w:ascii="Arial Narrow" w:hAnsi="Arial Narrow"/>
          <w:sz w:val="22"/>
          <w:szCs w:val="22"/>
        </w:rPr>
        <w:t>Budapest, 20</w:t>
      </w:r>
    </w:p>
    <w:p w:rsidR="009244B9" w:rsidRPr="00B36A31" w:rsidRDefault="009244B9" w:rsidP="009244B9">
      <w:pPr>
        <w:spacing w:line="262" w:lineRule="auto"/>
        <w:ind w:left="567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262" w:lineRule="auto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W w:w="918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02"/>
      </w:tblGrid>
      <w:tr w:rsidR="009244B9" w:rsidRPr="00B36A31" w:rsidTr="004A1A50">
        <w:trPr>
          <w:trHeight w:val="1077"/>
        </w:trPr>
        <w:tc>
          <w:tcPr>
            <w:tcW w:w="4678" w:type="dxa"/>
          </w:tcPr>
          <w:p w:rsidR="009244B9" w:rsidRPr="00B36A31" w:rsidRDefault="009244B9" w:rsidP="004A1A50">
            <w:pPr>
              <w:spacing w:line="262" w:lineRule="auto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B36A31" w:rsidRDefault="009244B9" w:rsidP="004A1A50">
            <w:pPr>
              <w:spacing w:line="262" w:lineRule="auto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E53BB8">
              <w:rPr>
                <w:rFonts w:ascii="Arial Narrow" w:hAnsi="Arial Narrow"/>
                <w:sz w:val="22"/>
                <w:szCs w:val="22"/>
              </w:rPr>
              <w:t xml:space="preserve">………………………. </w:t>
            </w:r>
            <w:r w:rsidRPr="00B36A31">
              <w:rPr>
                <w:rFonts w:ascii="Arial Narrow" w:hAnsi="Arial Narrow"/>
                <w:sz w:val="22"/>
                <w:szCs w:val="22"/>
              </w:rPr>
              <w:t>(Társaság) képviseletében:</w:t>
            </w:r>
          </w:p>
        </w:tc>
        <w:tc>
          <w:tcPr>
            <w:tcW w:w="4502" w:type="dxa"/>
          </w:tcPr>
          <w:p w:rsidR="009244B9" w:rsidRPr="00B36A31" w:rsidRDefault="009244B9" w:rsidP="004A1A50">
            <w:pPr>
              <w:spacing w:line="262" w:lineRule="auto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right="-5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244B9" w:rsidRPr="00B36A31" w:rsidRDefault="009244B9" w:rsidP="009244B9">
      <w:pPr>
        <w:spacing w:line="262" w:lineRule="auto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9244B9" w:rsidRPr="00B36A31" w:rsidTr="004A1A50"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…………………………….……………………</w:t>
            </w:r>
          </w:p>
        </w:tc>
      </w:tr>
      <w:tr w:rsidR="009244B9" w:rsidRPr="00B36A31" w:rsidTr="004A1A50"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ügyvezető</w:t>
            </w:r>
          </w:p>
        </w:tc>
        <w:tc>
          <w:tcPr>
            <w:tcW w:w="4536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Hallgató</w:t>
            </w:r>
          </w:p>
        </w:tc>
      </w:tr>
      <w:tr w:rsidR="009244B9" w:rsidRPr="00B36A31" w:rsidTr="004A1A50">
        <w:trPr>
          <w:gridAfter w:val="1"/>
          <w:wAfter w:w="4536" w:type="dxa"/>
          <w:trHeight w:val="261"/>
        </w:trPr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B36A31" w:rsidTr="004A1A50">
        <w:trPr>
          <w:gridAfter w:val="1"/>
          <w:wAfter w:w="4536" w:type="dxa"/>
          <w:trHeight w:val="261"/>
        </w:trPr>
        <w:tc>
          <w:tcPr>
            <w:tcW w:w="4644" w:type="dxa"/>
          </w:tcPr>
          <w:p w:rsidR="009244B9" w:rsidRPr="0089584B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B36A31" w:rsidTr="004A1A50">
        <w:trPr>
          <w:gridAfter w:val="1"/>
          <w:wAfter w:w="4536" w:type="dxa"/>
        </w:trPr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…………………</w:t>
            </w:r>
          </w:p>
        </w:tc>
      </w:tr>
      <w:tr w:rsidR="009244B9" w:rsidRPr="00B36A31" w:rsidTr="004A1A50">
        <w:trPr>
          <w:gridAfter w:val="1"/>
          <w:wAfter w:w="4536" w:type="dxa"/>
        </w:trPr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külső konzulens</w:t>
            </w:r>
          </w:p>
        </w:tc>
      </w:tr>
    </w:tbl>
    <w:p w:rsidR="009244B9" w:rsidRDefault="009244B9" w:rsidP="0015269B">
      <w:pPr>
        <w:spacing w:line="0" w:lineRule="atLeast"/>
        <w:ind w:right="790"/>
        <w:outlineLvl w:val="0"/>
        <w:rPr>
          <w:rFonts w:ascii="Arial Narrow" w:hAnsi="Arial Narrow"/>
          <w:b/>
          <w:smallCaps/>
          <w:sz w:val="22"/>
          <w:szCs w:val="22"/>
        </w:rPr>
      </w:pPr>
      <w:bookmarkStart w:id="0" w:name="_GoBack"/>
      <w:bookmarkEnd w:id="0"/>
    </w:p>
    <w:sectPr w:rsidR="0092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1B" w:rsidRDefault="0063301B" w:rsidP="009244B9">
      <w:r>
        <w:separator/>
      </w:r>
    </w:p>
  </w:endnote>
  <w:endnote w:type="continuationSeparator" w:id="0">
    <w:p w:rsidR="0063301B" w:rsidRDefault="0063301B" w:rsidP="0092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1B" w:rsidRDefault="0063301B" w:rsidP="009244B9">
      <w:r>
        <w:separator/>
      </w:r>
    </w:p>
  </w:footnote>
  <w:footnote w:type="continuationSeparator" w:id="0">
    <w:p w:rsidR="0063301B" w:rsidRDefault="0063301B" w:rsidP="0092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66D"/>
    <w:multiLevelType w:val="hybridMultilevel"/>
    <w:tmpl w:val="495480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D121EF"/>
    <w:multiLevelType w:val="multilevel"/>
    <w:tmpl w:val="E1BA5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B9"/>
    <w:rsid w:val="00131E82"/>
    <w:rsid w:val="001366A7"/>
    <w:rsid w:val="0015269B"/>
    <w:rsid w:val="00257188"/>
    <w:rsid w:val="00536209"/>
    <w:rsid w:val="0063301B"/>
    <w:rsid w:val="009040ED"/>
    <w:rsid w:val="009244B9"/>
    <w:rsid w:val="0093489A"/>
    <w:rsid w:val="00950EC0"/>
    <w:rsid w:val="00960012"/>
    <w:rsid w:val="00E53BB8"/>
    <w:rsid w:val="00F4462A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E88F"/>
  <w15:chartTrackingRefBased/>
  <w15:docId w15:val="{4BA2AE4B-CF49-4733-A53F-61346C6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4B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9244B9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44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9244B9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244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44B9"/>
    <w:rPr>
      <w:rFonts w:ascii="Calibri" w:eastAsia="Calibri" w:hAnsi="Calibri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244B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l"/>
    <w:rsid w:val="009244B9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l"/>
    <w:rsid w:val="009244B9"/>
    <w:pPr>
      <w:numPr>
        <w:ilvl w:val="1"/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Norml"/>
    <w:rsid w:val="009244B9"/>
    <w:pPr>
      <w:numPr>
        <w:ilvl w:val="2"/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Befejezs">
    <w:name w:val="Closing"/>
    <w:basedOn w:val="Norml"/>
    <w:link w:val="BefejezsChar"/>
    <w:rsid w:val="009244B9"/>
    <w:pPr>
      <w:spacing w:after="120" w:line="36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fejezsChar">
    <w:name w:val="Befejezés Char"/>
    <w:basedOn w:val="Bekezdsalapbettpusa"/>
    <w:link w:val="Befejezs"/>
    <w:rsid w:val="009244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hasilo</cp:lastModifiedBy>
  <cp:revision>2</cp:revision>
  <dcterms:created xsi:type="dcterms:W3CDTF">2021-09-18T15:35:00Z</dcterms:created>
  <dcterms:modified xsi:type="dcterms:W3CDTF">2021-09-18T15:35:00Z</dcterms:modified>
</cp:coreProperties>
</file>